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2018-000559 vom 23. Mai 2018</w:t>
      </w:r>
    </w:p>
    <w:p>
      <w:r>
        <w:t>Ag Regierungsrat, 2018-05-23, DE</w:t>
      </w:r>
    </w:p>
    <w:p>
      <w:r>
        <w:rPr>
          <w:b/>
        </w:rPr>
        <w:t xml:space="preserve">Quelle: </w:t>
      </w:r>
      <w:r>
        <w:t>https://mcp.opencaselaw.ch/entscheid/ag_regierungsrat_RRB Nr. 2018-000559</w:t>
      </w:r>
    </w:p>
    <w:p>
      <w:r>
        <w:t>FR: AG_REGIERUNGSRAT RRB Nr. 2018-000559 du 23 mai 2018</w:t>
      </w:r>
    </w:p>
    <w:p>
      <w:r>
        <w:t>IT: AG_REGIERUNGSRAT RRB Nr. 2018-000559 del 23 maggio 2018</w:t>
      </w:r>
    </w:p>
    <w:p>
      <w:pPr>
        <w:pStyle w:val="Heading2"/>
      </w:pPr>
      <w:r>
        <w:t>Regeste</w:t>
      </w:r>
    </w:p>
    <w:p>
      <w:r>
        <w:t>Polizeiliche Wegweisung - Maximale Dauer der Wegweisung bei einer Behinderung der polizeilichen Tätigkeit (Erw. 3.2) und dem begründeten Verdacht einer Gewalteskalation (Erw. 3.3) - Voraussetzungen für die Anordnung einer präventiven Wegweisung (Erw. 4)</w:t>
      </w:r>
    </w:p>
    <w:p>
      <w:pPr>
        <w:pStyle w:val="Heading2"/>
      </w:pPr>
      <w:r>
        <w:t>Erwägungen</w:t>
      </w:r>
    </w:p>
    <w:p>
      <w:r>
        <w:rPr>
          <w:b/>
        </w:rPr>
        <w:t>E. 4</w:t>
      </w:r>
    </w:p>
    <w:p>
      <w:r>
        <w:t>Der Regierungsrat hat grosses Verständnis dafür, dass öffentli che Räume an zentraler Lage mit hoher Personenfrequenz von der zuständigen Polizei vor Störungen der öffentlichen Sicherheit und Ordnung zu schützen sind. Das Bundesgericht anerkennt, dass insbesondere die von den Drogen und Alkoholszenen ausgehenden Erscheinungen geeignet sind, die öffentliche Ordnung und Sicherheit hochfrequentierter Orte (wie z.B. eine Bahnhofshalle) erheblich zu gefährden oder zu stören (vgl. zum ganzen auch: MOHLER, a.a.O., N. 553 ff.). Das störende bzw. gefährdende Verhalten wird darin erblickt, dass "im Zusammen hang mit Alkoholszenen regelmässig Passanten angepöbelt und aktiv behindert werden, in aggressiver Form gebettelt wird, in verschiede nen Formen laut und störend herumgeschrien und Lärm verursacht wird und unter solchen Umständen immer wieder unkontrolliert Ab fall und Unrat abgelagert wird. (…) (Solche Erscheinungen) wirken sich direkt auf das den öffentlichen Raum benützende Publikum aus und beeinträchtigen die Passanten in einer Weise, die offensichtlich Anstoss erregt. Über die unmittelbare Störung durch Abfall und Un rat sowie den grossen Lärm hinaus können entsprechende Begeben heiten Verunsicherung oder Angstgefühle hervorrufen und die Passanten zu einem Ausweichen, einem Umweg oder gar zur Benüt zung eines anderen Bahnhofzugangs veranlassen. All dies wirkt sich unmittelbar auf die öffentliche Ordnung und Sicherheit aus und stört und gefährdet die Polizeigüter. Darüber hinaus zeigt die Erfahrung, dass es unter solchen Umständen sehr oft zu eigentlichen aktiven Be hinderungen von Passanten und aggressivem Betteln kommt. Bei dieser Sachlage kann ein öffentliches Interesse am Schutz der Polizeigüter nicht verneint werden. Das öffentliche Interesse kann es gebieten, das den öffentlichen Raum benützende Publikum und die Passanten vor derartigen Erscheinungen zu bewahren. Es rechtfertigt sich daher im Grundsatz, entsprechende Vorkehren zu treffen und Gruppen, von denen die Gefährdungen und Störungen ausgehen, wegzuweisen und fernzuhalten" (BGE 132 I 49, Erw. 7.1). Bezugnehmend auf den Grundsatz der Verhältnismässigkeit der Wegweisungen hält das Bundesgericht fest, dass der Grundrechtsein</w:t>
      </w:r>
    </w:p>
    <w:p>
      <w:r>
        <w:t>griff "nicht als schwerwiegend eingestuft werden (kann). (…) die Be schwerdeführer (werden) durch die Wegweisungs und Fernhalte verfügungen in ihrer individuellen Bewegungsfreiheit nicht berührt. Sie können ungeachtet der streitigen Massnahmen den Bereich des Bahnhofs und den umschriebenen Perimeter zu beliebigen Zwecken benützen. Sie werden auch nicht daran gehindert, sich im be zeichneten Areal zu treffen und zu versammeln und meinungs bildende, austauschende und äussernde Kontakte zu pflegen, wie das möglicherweise auch andere Gruppen tun. Der Eingriff in die Versammlungsfreiheit und die persönliche Freiheit beschränkt sich vielmehr auf das mit erheblichem Alkoholkonsum gekoppelte Zu sammenfinden und Zusammensein und die nachteiligen Begleiter scheinungen. Solches Zusammenfinden in einer Gruppe im Bahn hofareal stellt indes, auch unter Berücksichtigung der Menschen würde, kein für die Versammlungsfreiheit und die persönliche Frei heit grundlegendes Element dar. Der Grundrechtseingriff ist insoweit von geringer Tragweite" (BGE 132 I 49, Erw. 7.2). Im Sinne der bundesgerichtlichen Rechtsprechung hält der Regierungsrat daher dafür, dass eine erhebliche Gefährdung der öffentlichen Sicherheit und Ordnung im Sinne von § 34 Abs. 1 lit. a PolG auch dann vorliegt, wenn der begründete Verdacht besteht, dass Personen, die der gleichen Ansammlung zuzurechnen sind, die öf fentliche Sicherheit und Ordnung gefährden oder stören. Der Bahnhof Aarau gilt als Ort, von welchem Personengruppen auch präventiv weggewiesen werden können, sofern ein Verhaltens muster der betroffenen Personen einen Verdacht auf eine erhebliche Gefährdung der öffentlichen Sicherheit und Ordnung begründet. Eine örtliche (zum Beispiel Bahnhofsareal von Aarau) und auf ein Verhal tensmuster (Gruppierungen mit Alkoholkonsum) beschränkte Mass nahme schränkt die individuelle Bewegungsfreiheit der betroffenen Personen nicht unzulässig ein (BGE 132 I 49, Erw. 5.2, 7.1 f.) und ist daher als recht und verhältnismässig zu bezeichnen. Da kein beson ders grosser Grundrechtseingriff davon ausgeht, kann eine solche Wegweisung auch für eine deutlich längere Dauer ausgesprochen werden. Das Bundesgericht erachtet eine Wegweisungsdauer von drei Monaten noch als verhältnismässig (BGE 132 I 49, Erw. 7.2).</w:t>
      </w:r>
    </w:p>
    <w:p>
      <w:r>
        <w:t>Mit anderen Worten ausgedrückt hält der Regierungsrat dafür, dass die Kantonspolizei Aargau in Situationen der hier vorliegenden Art mit weniger eingreifenden, rechtmässigen Massnahmen die Si cherheit und das Sicherheitsgefühl betroffener Personen am Bahnhof Aarau massgeblich verbessern kann. Solche Massnahmen können und sollen von der Kantonspolizei Aargau zum präventiven Schutz der öffentlichen Sicherheit und Ordnung konsequent umgesetzt wer den. (…)</w:t>
      </w:r>
    </w:p>
    <w:p>
      <w:r>
        <w:rPr>
          <w:b/>
        </w:rPr>
        <w:t>E. 6</w:t>
      </w:r>
    </w:p>
    <w:p>
      <w:r>
        <w:t>Zusammenfassend wäre im vorliegenden Fall aufgrund der gegebenen Umstände eine Wegweisung des Beschwerdeführers aus dem Stadtgebiet von Aarau für die Dauer von zwei Tagen gestützt auf §34 Abs.1 lit. a und lit. b PolG recht und verhältnismässig gewesen. Die zeitlich darüber hinausgehende Wegweisung für die Dauer eines Monats hält im vorliegenden Fall einer rechtlichen Überprüfung nicht stand. (…)</w:t>
      </w:r>
    </w:p>
    <w:p>
      <w:r>
        <w:t>66 Auswärtiger Schulbesuch Entscheidzuständigkeit bei einem von den Eltern organisierten Schulortswechsel Hinweise zum Vorgehen und zur Kostentragung bei einer Zuweisung durch die Schulpflege Aus dem Entscheid des Regierungsrats vom 14. März 2018 in Sachen Einwohnergemeinde B. gegen X. (RRB Nr. 2018 000286). Aus den Erwägungen 1.3 Die Schulpflege der öffentlichen Schule der Wohngemeinde oder des Schulkreises, zu dem die Wohngemeinde gehört, ist gemäss den §§71 und 73 i.V.m. §6 Abs. 1 SchulG zuständig, die notwendi gen schulorganisatorischen Anordnungen zu treffen. Der Begriff Wohngemeinde stimmt dabei nicht mit demjenigen des Wohnsitzes im zivilrechtlichen Sinn überein, sondern entspricht jenem des Auf enthaltsorts (RRB Nr. 1988 000693 vom 28.März 1988, Erw. 3.a). Im Rahmen dieser Kompetenz steht es der Schulpflege der Schule der Aufenthaltsgemeinde auch zu, ein Schulkind einer auswärtigen Schule zuzuweisen. Solche Zuweisungen können jedoch nur in zwei Fallkonstellationen erfolgen: Erstens, wenn die Aufenthaltsgemeinde die betreffende Schulstufe oder den Schultyp nicht selber führt (zum Beispiel eine Sonderschule oder Bezirksschule), oder zweitens, wenn triftige Gründe bestehen, welche ein Abweichen von der Regel des Schulbesuchs in der Schule der Aufenthaltsgemeinde zwingend not wendig macht (zum Beispiel bei einem unzumutbaren Schulweg oder bei Mobbing; vgl. zum Ganzen: AGVE 2003, S.524). Im Falle einer Zuweisung liegt es an der Schulpflege, dafür besorgt zu sein, dass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